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p>
      <w:pPr>
        <w:pStyle w:val="Arial10"/>
      </w:pPr>
      <w:r w:rsidR="00A77B3E">
        <w:rPr>
          <w:rStyle w:val="Bold"/>
        </w:rPr>
        <w:t>Forespørgsel til skriftlig besvarelse E-001318/2021</w:t>
      </w:r>
    </w:p>
    <w:p>
      <w:pPr>
        <w:pStyle w:val="Arial10"/>
      </w:pPr>
      <w:r>
        <w:rPr>
          <w:rStyle w:val="Bold"/>
        </w:rPr>
        <w:t>til Kommissionen</w:t>
      </w:r>
    </w:p>
    <w:p>
      <w:pPr>
        <w:pStyle w:val="Arial10"/>
      </w:pPr>
      <w:r>
        <w:t>jf. forretningsordenens artikel 138</w:t>
      </w:r>
    </w:p>
    <w:p>
      <w:pPr>
        <w:pStyle w:val="Arial10After10"/>
      </w:pPr>
      <w:r>
        <w:rPr>
          <w:rStyle w:val="Bold"/>
        </w:rPr>
        <w:t>Caterina Chinnici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David Lega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Hilde Vautmans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Franco Roberti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Pietro Bartolo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Patrizia Toia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Giuliano Pisapia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Pina Picierno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Pierfrancesco Majorino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Giuseppe Ferrandino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Brando Benifei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Simona Bonafè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Alessandra Moretti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Massimiliano Smeriglio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Irene Tinagli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Milan Brglez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Laurence Farreng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Elissavet Vozemberg-Vrionidi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Cyrus Engerer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Frances Fitzgerald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Izaskun Bilbao Barandica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Nathalie Loiseau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Stelios Kympouropoulos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Karen Melchior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Marie-Pierre Vedrenne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Katrin Langensiepen</w:t>
      </w:r>
      <w:r>
        <w:t xml:space="preserve"> (</w:t>
      </w:r>
      <w:r>
        <w:t>Verts/ALE</w:t>
      </w:r>
      <w:r>
        <w:t>)</w:t>
      </w:r>
    </w:p>
    <w:p>
      <w:pPr>
        <w:pStyle w:val="Subject"/>
      </w:pPr>
      <w:r>
        <w:t>Om</w:t>
      </w:r>
      <w:r>
        <w:t>:</w:t>
      </w:r>
      <w:r>
        <w:tab/>
      </w:r>
      <w:r>
        <w:t>Seksuel vold mod børn som krigsvåben i konfliktområder</w:t>
      </w:r>
    </w:p>
    <w:p>
      <w:pPr>
        <w:pStyle w:val="Body"/>
      </w:pPr>
      <w:r>
        <w:t>Som en del af sin kampagne "Stop krigen mod børn" har Red Barnet for nylig offentliggjort en rapport med titlen "Weapon of War: Sexual Violence against Children in Conflict"</w:t>
      </w:r>
      <w:r>
        <w:rPr>
          <w:rStyle w:val="FootnoteReference"/>
        </w:rPr>
        <w:footnoteReference w:id="0"/>
      </w:r>
      <w:r>
        <w:t xml:space="preserve"> (Krigsvåben: seksuel vold mod børn i konflikter), som viser, at der på verdensplan bor 426 millioner børn i konfliktområder. 72 millioner af disse børn, eller et ud af seks, bor inden for 50 kilometer fra konfliktområder, hvor væbnede grupper eller styrker i 2019 begik seksuel vold mod børn. I 1990 var dette tal 8,5 millioner.</w:t>
      </w:r>
    </w:p>
    <w:p>
      <w:pPr>
        <w:pStyle w:val="Body"/>
      </w:pPr>
      <w:r>
        <w:t>I sammenligning med for 30 år siden er risikoen for, at børn i konfliktområder oplever seksuel vold begået af væbnede grupper eller styrker, steget til det tidobbelte, navnlig i Yemen, Somalia, Irak, Syrien, Colombia og Sydsudan. Voldtægt, seksuelt slaveri, prostitution, påtvungen graviditet, sterilisering og tvungne aborter, kønslemlæstelse, seksuelt misbrug og tortur begået af væbnede grupper er blevet reelle krigsvåben.</w:t>
      </w:r>
    </w:p>
    <w:p>
      <w:pPr>
        <w:pStyle w:val="Body"/>
      </w:pPr>
      <w:r>
        <w:t>I lyset af den forestående offentliggørelse af EU-strategien for børns rettigheder (2021-2024), særligt med hensyn til dens eksterne dimension:</w:t>
      </w:r>
    </w:p>
    <w:p>
      <w:pPr>
        <w:pStyle w:val="itemList"/>
      </w:pPr>
      <w:r>
        <w:t>1.</w:t>
      </w:r>
      <w:r>
        <w:tab/>
      </w:r>
      <w:r>
        <w:t>Hvilke specifikke foranstaltninger agter Kommissionen at forfølge for at styrke dataindsamling, sætte ind over for årsagerne til og bekæmpe straffriheden for denne tragedie?</w:t>
      </w:r>
    </w:p>
    <w:p>
      <w:pPr>
        <w:pStyle w:val="itemList"/>
      </w:pPr>
      <w:r>
        <w:t>2.</w:t>
      </w:r>
      <w:r>
        <w:tab/>
      </w:r>
      <w:r>
        <w:t>Hvordan agter Kommissionen at støtte de tjenester, der leveres af ikkestatslige organisationer, som opererer i disse højrisikoområder?</w:t>
      </w:r>
    </w:p>
    <w:p>
      <w:pPr>
        <w:pStyle w:val="Supporter"/>
      </w:pPr>
      <w:r>
        <w:rPr>
          <w:rStyle w:val="Bold"/>
        </w:rPr>
        <w:t>Støttes af et medlem</w:t>
      </w:r>
      <w:r>
        <w:rPr>
          <w:rStyle w:val="FootnoteReference"/>
        </w:rPr>
        <w:footnoteReference w:id="1"/>
      </w:r>
    </w:p>
    <w:sectPr>
      <w:footerReference w:type="even" r:id="rId5"/>
      <w:footerReference w:type="default" r:id="rId6"/>
      <w:footerReference w:type="first" r:id="rId7"/>
      <w:pgSz w:w="11906" w:h="16838"/>
      <w:pgMar w:top="1440" w:right="1440" w:bottom="2000" w:left="1440" w:header="568" w:footer="568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PE690.491v01-00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PE690.491v01-00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PE690.491v01-00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>https://resourcecentre.savethechildren.net/library/weapon-war-sexual-violence-against-children-conflict</w:t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Denne forespørgsel støttes af et andet medlem end forespørgerne: Olivier Chastel (Renew)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1F497D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Forespørgsel til skriftlig besvarelse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20210528-191003-369526-555900</vt:lpwstr>
  </property>
</Properties>
</file>