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Forespørgsel til skriftlig besvarelse E-001197/2021</w:t>
      </w:r>
    </w:p>
    <w:p>
      <w:pPr>
        <w:pStyle w:val="Arial10"/>
      </w:pPr>
      <w:r>
        <w:rPr>
          <w:rStyle w:val="Bold"/>
        </w:rPr>
        <w:t>til Kommissionen</w:t>
      </w:r>
    </w:p>
    <w:p>
      <w:pPr>
        <w:pStyle w:val="Arial10"/>
      </w:pPr>
      <w:r>
        <w:t>jf. forretningsordenens artikel 138</w:t>
      </w:r>
    </w:p>
    <w:p>
      <w:pPr>
        <w:pStyle w:val="Arial10After10"/>
      </w:pPr>
      <w:r>
        <w:rPr>
          <w:rStyle w:val="Bold"/>
        </w:rPr>
        <w:t>Tanja Fajon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Milan Brglez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Karen Melchior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Ivan Vilibor Sinčić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Maria Grapini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Javier Nart</w:t>
      </w:r>
      <w:r>
        <w:t xml:space="preserve"> (</w:t>
      </w:r>
      <w:r>
        <w:t>Renew</w:t>
      </w:r>
      <w:r>
        <w:t xml:space="preserve">), </w:t>
      </w:r>
      <w:r>
        <w:rPr>
          <w:rStyle w:val="Bold"/>
        </w:rPr>
        <w:t>Chris MacManus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Malin Björk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Sirpa Pietikäinen</w:t>
      </w:r>
      <w:r>
        <w:t xml:space="preserve"> (</w:t>
      </w:r>
      <w:r>
        <w:t>PPE</w:t>
      </w:r>
      <w:r>
        <w:t xml:space="preserve">), </w:t>
      </w:r>
      <w:r>
        <w:rPr>
          <w:rStyle w:val="Bold"/>
        </w:rPr>
        <w:t>Niyazi Kizilyürek</w:t>
      </w:r>
      <w:r>
        <w:t xml:space="preserve"> (</w:t>
      </w:r>
      <w:r>
        <w:t>The Left</w:t>
      </w:r>
      <w:r>
        <w:t xml:space="preserve">), </w:t>
      </w:r>
      <w:r>
        <w:rPr>
          <w:rStyle w:val="Bold"/>
        </w:rPr>
        <w:t>Giuliano Pisapia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Andreas Schieder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Martina Michels</w:t>
      </w:r>
      <w:r>
        <w:t xml:space="preserve"> (</w:t>
      </w:r>
      <w:r>
        <w:t>The Left</w:t>
      </w:r>
      <w:r>
        <w:t>)</w:t>
      </w:r>
    </w:p>
    <w:p>
      <w:pPr>
        <w:pStyle w:val="Subject"/>
      </w:pPr>
      <w:r>
        <w:t>Om</w:t>
      </w:r>
      <w:r>
        <w:t>:</w:t>
      </w:r>
      <w:r>
        <w:tab/>
      </w:r>
      <w:r>
        <w:t>Overtrædelse af EU's retningslinjer — EU-finansiering af israelske enheder i det besatte palæstinensiske område</w:t>
      </w:r>
    </w:p>
    <w:p>
      <w:pPr>
        <w:pStyle w:val="Body"/>
      </w:pPr>
      <w:r>
        <w:t>I henhold til EU's retningslinjer for, hvorvidt israelske enheder og deres aktiviteter i de områder, som Israel har besat siden juni 1967, kan komme i betragtning til tilskud, priser og finansielle instrumenter, der finansieres af EU fra og med 2014</w:t>
      </w:r>
      <w:r>
        <w:rPr>
          <w:rStyle w:val="FootnoteReference"/>
        </w:rPr>
        <w:footnoteReference w:id="0"/>
      </w:r>
      <w:r>
        <w:t>, kan kun israelske enheder, der hverken er etableret eller udfører finansierede aktiviteter i det palæstinensiske besatte område, komme i betragtning til EU-tilskud.</w:t>
      </w:r>
    </w:p>
    <w:p>
      <w:pPr>
        <w:pStyle w:val="Body"/>
      </w:pPr>
      <w:r>
        <w:t>Ariel University (AU), som er beliggende i den ulovlige israelske bosættelse Ariel på den besatte palæstinensiske Vestbred, optræder ikke desto mindre som "interessent i Israel" i det Horisont 2020-støttede projekt BOUNCE</w:t>
      </w:r>
      <w:r>
        <w:rPr>
          <w:rStyle w:val="FootnoteReference"/>
        </w:rPr>
        <w:footnoteReference w:id="1"/>
      </w:r>
      <w:r>
        <w:t>. AU har været vært for et informationsarrangement om projektet, og en af dets professorer er opført som forsker og medlem af BOUNCE-teamet, hvilket er i strid med ovennævnte EU-retningslinjer.</w:t>
      </w:r>
    </w:p>
    <w:p>
      <w:pPr>
        <w:pStyle w:val="Body"/>
      </w:pPr>
      <w:r>
        <w:t>Selv om AU for nylig blev fjernet fra interessentdatabasen for det EU-finansierede projekt GEO-CRADLE, er andre israelske enheder fra de besatte områder fortsat involveret i projektet og udfører hertil knyttede aktiviteter.</w:t>
      </w:r>
    </w:p>
    <w:p>
      <w:pPr>
        <w:pStyle w:val="itemList"/>
      </w:pPr>
      <w:r>
        <w:t>1.</w:t>
      </w:r>
      <w:r>
        <w:tab/>
      </w:r>
      <w:r>
        <w:t>Hvad vil Kommissionen konkret gøre for at forhindre gentagne krænkelser af de forpligtelser, EU har opstillet, og af dets holdning om ikkeanerkendelse af Israels suverænitet over de besatte palæstinensiske område, i forbindelse med EU-finansierede forskningsprojekter?</w:t>
      </w:r>
    </w:p>
    <w:p>
      <w:pPr>
        <w:pStyle w:val="itemList"/>
      </w:pPr>
      <w:r>
        <w:t>2.</w:t>
      </w:r>
      <w:r>
        <w:tab/>
      </w:r>
      <w:r>
        <w:t>Vil Kommissionens tjenestegrene kræve, at der foretages en etisk bedømmelse eller audit af projektet for at vurdere, om det er i overensstemmelse med retningslinjerne?</w:t>
      </w:r>
    </w:p>
    <w:p>
      <w:pPr>
        <w:pStyle w:val="itemList"/>
      </w:pPr>
      <w:r>
        <w:t>3.</w:t>
      </w:r>
      <w:r>
        <w:tab/>
      </w:r>
      <w:r>
        <w:t>Vil den indføje en henvisning til disse EU-forpligtelser og -holdninger i den etiske vurderingsprocedure for israelske enheder inden for rammerne af Horisont Europa?</w:t>
      </w:r>
    </w:p>
    <w:sectPr>
      <w:footerReference w:type="even" r:id="rId5"/>
      <w:footerReference w:type="default" r:id="rId6"/>
      <w:footerReference w:type="first" r:id="rId7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PE690.363v01-00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PE690.363v01-00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PE690.363v01-00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https://eur-lex.europa.eu/legal-content/DA/TXT/?uri=CELEX:52013XC0719(03)</w:t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https://www.bounce-project.eu/news/bounce-dissemination-event-on-june-16-2020/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Forespørgsel til skriftlig besvarelse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20210521-145005-205622-922237</vt:lpwstr>
  </property>
</Properties>
</file>