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0" w:rsidRDefault="00A77B3E">
      <w:pPr>
        <w:pStyle w:val="Arial10"/>
      </w:pPr>
      <w:bookmarkStart w:id="0" w:name="_GoBack"/>
      <w:bookmarkEnd w:id="0"/>
      <w:proofErr w:type="spellStart"/>
      <w:r>
        <w:rPr>
          <w:rStyle w:val="Bold"/>
        </w:rPr>
        <w:t>Forespørgsel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til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skriftlig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besvarelse</w:t>
      </w:r>
      <w:proofErr w:type="spellEnd"/>
      <w:r>
        <w:rPr>
          <w:rStyle w:val="Bold"/>
        </w:rPr>
        <w:t xml:space="preserve"> E-005725/2020</w:t>
      </w:r>
    </w:p>
    <w:p w:rsidR="00A74210" w:rsidRDefault="005840BA">
      <w:pPr>
        <w:pStyle w:val="Arial10"/>
      </w:pPr>
      <w:proofErr w:type="spellStart"/>
      <w:r>
        <w:rPr>
          <w:rStyle w:val="Bold"/>
        </w:rPr>
        <w:t>til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Kommissionen</w:t>
      </w:r>
      <w:proofErr w:type="spellEnd"/>
    </w:p>
    <w:p w:rsidR="00A74210" w:rsidRDefault="005840BA">
      <w:pPr>
        <w:pStyle w:val="Arial10"/>
      </w:pPr>
      <w:proofErr w:type="spellStart"/>
      <w:r>
        <w:t>jf</w:t>
      </w:r>
      <w:proofErr w:type="spellEnd"/>
      <w:r>
        <w:t xml:space="preserve">. </w:t>
      </w:r>
      <w:proofErr w:type="spellStart"/>
      <w:r>
        <w:t>forretningsordenens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138</w:t>
      </w:r>
    </w:p>
    <w:p w:rsidR="00A74210" w:rsidRDefault="005840BA">
      <w:pPr>
        <w:pStyle w:val="Arial10After10"/>
      </w:pPr>
      <w:r>
        <w:rPr>
          <w:rStyle w:val="Bold"/>
        </w:rPr>
        <w:t>Karen Melchior</w:t>
      </w:r>
      <w:r>
        <w:t xml:space="preserve"> (Renew), </w:t>
      </w:r>
      <w:r>
        <w:rPr>
          <w:rStyle w:val="Bold"/>
        </w:rPr>
        <w:t xml:space="preserve">Nathalie </w:t>
      </w:r>
      <w:proofErr w:type="spellStart"/>
      <w:r>
        <w:rPr>
          <w:rStyle w:val="Bold"/>
        </w:rPr>
        <w:t>Loiseau</w:t>
      </w:r>
      <w:proofErr w:type="spellEnd"/>
      <w:r>
        <w:t xml:space="preserve"> (Renew), </w:t>
      </w:r>
      <w:r>
        <w:rPr>
          <w:rStyle w:val="Bold"/>
        </w:rPr>
        <w:t xml:space="preserve">Hilde </w:t>
      </w:r>
      <w:proofErr w:type="spellStart"/>
      <w:r>
        <w:rPr>
          <w:rStyle w:val="Bold"/>
        </w:rPr>
        <w:t>Vautmans</w:t>
      </w:r>
      <w:proofErr w:type="spellEnd"/>
      <w:r>
        <w:t xml:space="preserve"> (Renew), </w:t>
      </w:r>
      <w:proofErr w:type="spellStart"/>
      <w:r>
        <w:rPr>
          <w:rStyle w:val="Bold"/>
        </w:rPr>
        <w:t>María</w:t>
      </w:r>
      <w:proofErr w:type="spellEnd"/>
      <w:r>
        <w:rPr>
          <w:rStyle w:val="Bold"/>
        </w:rPr>
        <w:t xml:space="preserve"> Soraya Rodríguez Ramos</w:t>
      </w:r>
      <w:r>
        <w:t xml:space="preserve"> (Renew), </w:t>
      </w:r>
      <w:proofErr w:type="spellStart"/>
      <w:r>
        <w:rPr>
          <w:rStyle w:val="Bold"/>
        </w:rPr>
        <w:t>Izaskun</w:t>
      </w:r>
      <w:proofErr w:type="spellEnd"/>
      <w:r>
        <w:rPr>
          <w:rStyle w:val="Bold"/>
        </w:rPr>
        <w:t xml:space="preserve"> Bilbao </w:t>
      </w:r>
      <w:proofErr w:type="spellStart"/>
      <w:r>
        <w:rPr>
          <w:rStyle w:val="Bold"/>
        </w:rPr>
        <w:t>Barandica</w:t>
      </w:r>
      <w:proofErr w:type="spellEnd"/>
      <w:r>
        <w:t xml:space="preserve"> (Renew), </w:t>
      </w:r>
      <w:r>
        <w:rPr>
          <w:rStyle w:val="Bold"/>
        </w:rPr>
        <w:t xml:space="preserve">Michal </w:t>
      </w:r>
      <w:proofErr w:type="spellStart"/>
      <w:r>
        <w:rPr>
          <w:rStyle w:val="Bold"/>
        </w:rPr>
        <w:t>Šimečka</w:t>
      </w:r>
      <w:proofErr w:type="spellEnd"/>
      <w:r>
        <w:t xml:space="preserve"> (Renew), </w:t>
      </w:r>
      <w:r>
        <w:rPr>
          <w:rStyle w:val="Bold"/>
        </w:rPr>
        <w:t xml:space="preserve">Javier </w:t>
      </w:r>
      <w:proofErr w:type="spellStart"/>
      <w:r>
        <w:rPr>
          <w:rStyle w:val="Bold"/>
        </w:rPr>
        <w:t>Nart</w:t>
      </w:r>
      <w:proofErr w:type="spellEnd"/>
      <w:r>
        <w:t xml:space="preserve"> (Renew), </w:t>
      </w:r>
      <w:r>
        <w:rPr>
          <w:rStyle w:val="Bold"/>
        </w:rPr>
        <w:t xml:space="preserve">Irena </w:t>
      </w:r>
      <w:proofErr w:type="spellStart"/>
      <w:r>
        <w:rPr>
          <w:rStyle w:val="Bold"/>
        </w:rPr>
        <w:t>Joveva</w:t>
      </w:r>
      <w:proofErr w:type="spellEnd"/>
      <w:r>
        <w:t xml:space="preserve"> (Renew), </w:t>
      </w:r>
      <w:r>
        <w:rPr>
          <w:rStyle w:val="Bold"/>
        </w:rPr>
        <w:t>Barry Andrews</w:t>
      </w:r>
      <w:r>
        <w:t xml:space="preserve"> (Renew), </w:t>
      </w:r>
      <w:r>
        <w:rPr>
          <w:rStyle w:val="Bold"/>
        </w:rPr>
        <w:t>Pascal Durand</w:t>
      </w:r>
      <w:r>
        <w:t xml:space="preserve"> (Renew), </w:t>
      </w:r>
      <w:r>
        <w:rPr>
          <w:rStyle w:val="Bold"/>
        </w:rPr>
        <w:t xml:space="preserve">Brando </w:t>
      </w:r>
      <w:proofErr w:type="spellStart"/>
      <w:r>
        <w:rPr>
          <w:rStyle w:val="Bold"/>
        </w:rPr>
        <w:t>Benifei</w:t>
      </w:r>
      <w:proofErr w:type="spellEnd"/>
      <w:r>
        <w:t xml:space="preserve"> (S&amp;D), </w:t>
      </w:r>
      <w:r>
        <w:rPr>
          <w:rStyle w:val="Bold"/>
        </w:rPr>
        <w:t>Grace O'Sullivan</w:t>
      </w:r>
      <w:r>
        <w:t xml:space="preserve"> (</w:t>
      </w:r>
      <w:proofErr w:type="spellStart"/>
      <w:r>
        <w:t>Verts</w:t>
      </w:r>
      <w:proofErr w:type="spellEnd"/>
      <w:r>
        <w:t xml:space="preserve">/ALE), </w:t>
      </w:r>
      <w:proofErr w:type="spellStart"/>
      <w:r>
        <w:rPr>
          <w:rStyle w:val="Bold"/>
        </w:rPr>
        <w:t>Nikolaj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Villumsen</w:t>
      </w:r>
      <w:proofErr w:type="spellEnd"/>
      <w:r>
        <w:t xml:space="preserve"> (GUE/NGL), </w:t>
      </w:r>
      <w:proofErr w:type="spellStart"/>
      <w:r>
        <w:rPr>
          <w:rStyle w:val="Bold"/>
        </w:rPr>
        <w:t>Evin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Incir</w:t>
      </w:r>
      <w:proofErr w:type="spellEnd"/>
      <w:r>
        <w:t xml:space="preserve"> (S&amp;D), </w:t>
      </w:r>
      <w:r>
        <w:rPr>
          <w:rStyle w:val="Bold"/>
        </w:rPr>
        <w:t>Giuliano Pisapia</w:t>
      </w:r>
      <w:r>
        <w:t xml:space="preserve"> (S&amp;D), </w:t>
      </w:r>
      <w:r>
        <w:rPr>
          <w:rStyle w:val="Bold"/>
        </w:rPr>
        <w:t xml:space="preserve">Tanja </w:t>
      </w:r>
      <w:proofErr w:type="spellStart"/>
      <w:r>
        <w:rPr>
          <w:rStyle w:val="Bold"/>
        </w:rPr>
        <w:t>Fajon</w:t>
      </w:r>
      <w:proofErr w:type="spellEnd"/>
      <w:r>
        <w:t xml:space="preserve"> (S&amp;D), </w:t>
      </w:r>
      <w:proofErr w:type="spellStart"/>
      <w:r>
        <w:rPr>
          <w:rStyle w:val="Bold"/>
        </w:rPr>
        <w:t>M</w:t>
      </w:r>
      <w:r>
        <w:rPr>
          <w:rStyle w:val="Bold"/>
        </w:rPr>
        <w:t>ounir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Satouri</w:t>
      </w:r>
      <w:proofErr w:type="spellEnd"/>
      <w:r>
        <w:t xml:space="preserve"> (</w:t>
      </w:r>
      <w:proofErr w:type="spellStart"/>
      <w:r>
        <w:t>Verts</w:t>
      </w:r>
      <w:proofErr w:type="spellEnd"/>
      <w:r>
        <w:t xml:space="preserve">/ALE), </w:t>
      </w:r>
      <w:r>
        <w:rPr>
          <w:rStyle w:val="Bold"/>
        </w:rPr>
        <w:t xml:space="preserve">Ernest </w:t>
      </w:r>
      <w:proofErr w:type="spellStart"/>
      <w:r>
        <w:rPr>
          <w:rStyle w:val="Bold"/>
        </w:rPr>
        <w:t>Urtasun</w:t>
      </w:r>
      <w:proofErr w:type="spellEnd"/>
      <w:r>
        <w:t xml:space="preserve"> (</w:t>
      </w:r>
      <w:proofErr w:type="spellStart"/>
      <w:r>
        <w:t>Verts</w:t>
      </w:r>
      <w:proofErr w:type="spellEnd"/>
      <w:r>
        <w:t>/ALE)</w:t>
      </w:r>
    </w:p>
    <w:p w:rsidR="00A74210" w:rsidRDefault="005840BA">
      <w:pPr>
        <w:pStyle w:val="Subject"/>
      </w:pPr>
      <w:r>
        <w:t>Om:</w:t>
      </w:r>
      <w:r>
        <w:tab/>
      </w:r>
      <w:proofErr w:type="spellStart"/>
      <w:r>
        <w:t>Nedrivning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inddragning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EU-</w:t>
      </w:r>
      <w:proofErr w:type="spellStart"/>
      <w:r>
        <w:t>finansierede</w:t>
      </w:r>
      <w:proofErr w:type="spellEnd"/>
      <w:r>
        <w:t xml:space="preserve"> </w:t>
      </w:r>
      <w:proofErr w:type="spellStart"/>
      <w:r>
        <w:t>bistandsprojekter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Vestbredden</w:t>
      </w:r>
      <w:proofErr w:type="spellEnd"/>
    </w:p>
    <w:p w:rsidR="00A74210" w:rsidRDefault="005840BA">
      <w:pPr>
        <w:pStyle w:val="Body"/>
      </w:pPr>
      <w:proofErr w:type="spellStart"/>
      <w:r>
        <w:t>På</w:t>
      </w:r>
      <w:proofErr w:type="spellEnd"/>
      <w:r>
        <w:t xml:space="preserve"> et </w:t>
      </w:r>
      <w:proofErr w:type="spellStart"/>
      <w:r>
        <w:t>møde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udenrigs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forsvarsudvalget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israelske</w:t>
      </w:r>
      <w:proofErr w:type="spellEnd"/>
      <w:r>
        <w:t xml:space="preserve"> Knesset den 13. august 2020 </w:t>
      </w:r>
      <w:proofErr w:type="spellStart"/>
      <w:r>
        <w:t>beskrev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embedsmand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den </w:t>
      </w:r>
      <w:proofErr w:type="spellStart"/>
      <w:r>
        <w:t>civ</w:t>
      </w:r>
      <w:r>
        <w:t>ile</w:t>
      </w:r>
      <w:proofErr w:type="spellEnd"/>
      <w:r>
        <w:t xml:space="preserve"> administration </w:t>
      </w:r>
      <w:proofErr w:type="spellStart"/>
      <w:r>
        <w:t>nye</w:t>
      </w:r>
      <w:proofErr w:type="spellEnd"/>
      <w:r>
        <w:t xml:space="preserve"> </w:t>
      </w:r>
      <w:proofErr w:type="spellStart"/>
      <w:r>
        <w:t>retlige</w:t>
      </w:r>
      <w:proofErr w:type="spellEnd"/>
      <w:r>
        <w:t xml:space="preserve"> </w:t>
      </w:r>
      <w:proofErr w:type="spellStart"/>
      <w:r>
        <w:t>instrumenter</w:t>
      </w:r>
      <w:proofErr w:type="spellEnd"/>
      <w:r>
        <w:t xml:space="preserve">, der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muligt</w:t>
      </w:r>
      <w:proofErr w:type="spellEnd"/>
      <w:r>
        <w:t xml:space="preserve"> for de </w:t>
      </w:r>
      <w:proofErr w:type="spellStart"/>
      <w:r>
        <w:t>israelske</w:t>
      </w:r>
      <w:proofErr w:type="spellEnd"/>
      <w:r>
        <w:t xml:space="preserve"> </w:t>
      </w:r>
      <w:proofErr w:type="spellStart"/>
      <w:r>
        <w:t>myndigheder</w:t>
      </w:r>
      <w:proofErr w:type="spellEnd"/>
      <w:r>
        <w:t xml:space="preserve"> at </w:t>
      </w:r>
      <w:proofErr w:type="spellStart"/>
      <w:r>
        <w:t>udvide</w:t>
      </w:r>
      <w:proofErr w:type="spellEnd"/>
      <w:r>
        <w:t xml:space="preserve"> </w:t>
      </w:r>
      <w:proofErr w:type="spellStart"/>
      <w:r>
        <w:t>nedrivningen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beslaglæggelsen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palæstinensiske</w:t>
      </w:r>
      <w:proofErr w:type="spellEnd"/>
      <w:r>
        <w:t xml:space="preserve"> </w:t>
      </w:r>
      <w:proofErr w:type="spellStart"/>
      <w:r>
        <w:t>hjem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strukturer</w:t>
      </w:r>
      <w:proofErr w:type="spellEnd"/>
      <w:r>
        <w:t xml:space="preserve">, </w:t>
      </w:r>
      <w:proofErr w:type="spellStart"/>
      <w:r>
        <w:t>herunder</w:t>
      </w:r>
      <w:proofErr w:type="spellEnd"/>
      <w:r>
        <w:t xml:space="preserve"> EU-</w:t>
      </w:r>
      <w:proofErr w:type="spellStart"/>
      <w:r>
        <w:t>finansierede</w:t>
      </w:r>
      <w:proofErr w:type="spellEnd"/>
      <w:r>
        <w:t xml:space="preserve"> </w:t>
      </w:r>
      <w:proofErr w:type="spellStart"/>
      <w:r>
        <w:t>bistandsprojekter</w:t>
      </w:r>
      <w:proofErr w:type="spellEnd"/>
      <w:r>
        <w:rPr>
          <w:rStyle w:val="FootnoteReference"/>
        </w:rPr>
        <w:footnoteReference w:id="1"/>
      </w:r>
      <w:r>
        <w:t>.</w:t>
      </w:r>
    </w:p>
    <w:p w:rsidR="00A74210" w:rsidRDefault="005840BA">
      <w:pPr>
        <w:pStyle w:val="Body"/>
      </w:pPr>
      <w:proofErr w:type="spellStart"/>
      <w:r>
        <w:t>Prioriterede</w:t>
      </w:r>
      <w:proofErr w:type="spellEnd"/>
      <w:r>
        <w:t xml:space="preserve"> </w:t>
      </w:r>
      <w:proofErr w:type="spellStart"/>
      <w:r>
        <w:t>indsatsområder</w:t>
      </w:r>
      <w:proofErr w:type="spellEnd"/>
      <w:r>
        <w:t xml:space="preserve"> mod</w:t>
      </w:r>
      <w:r>
        <w:t xml:space="preserve"> den </w:t>
      </w:r>
      <w:proofErr w:type="spellStart"/>
      <w:r>
        <w:t>palæstinensiske</w:t>
      </w:r>
      <w:proofErr w:type="spellEnd"/>
      <w:r>
        <w:t xml:space="preserve"> </w:t>
      </w:r>
      <w:proofErr w:type="spellStart"/>
      <w:r>
        <w:t>tilstedeværelse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område</w:t>
      </w:r>
      <w:proofErr w:type="spellEnd"/>
      <w:r>
        <w:t xml:space="preserve"> C </w:t>
      </w:r>
      <w:proofErr w:type="spellStart"/>
      <w:r>
        <w:t>omfatter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Jerusalem, </w:t>
      </w:r>
      <w:proofErr w:type="spellStart"/>
      <w:r>
        <w:t>Ma'ale</w:t>
      </w:r>
      <w:proofErr w:type="spellEnd"/>
      <w:r>
        <w:t xml:space="preserve"> </w:t>
      </w:r>
      <w:proofErr w:type="spellStart"/>
      <w:r>
        <w:t>Adumim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E1-området, de </w:t>
      </w:r>
      <w:proofErr w:type="spellStart"/>
      <w:r>
        <w:t>sydlige</w:t>
      </w:r>
      <w:proofErr w:type="spellEnd"/>
      <w:r>
        <w:t xml:space="preserve"> </w:t>
      </w:r>
      <w:proofErr w:type="spellStart"/>
      <w:r>
        <w:t>Hebronbakker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Jordandalen</w:t>
      </w:r>
      <w:proofErr w:type="spellEnd"/>
      <w:r>
        <w:rPr>
          <w:rStyle w:val="FootnoteReference"/>
        </w:rPr>
        <w:footnoteReference w:id="2"/>
      </w:r>
      <w:r>
        <w:t>.</w:t>
      </w:r>
    </w:p>
    <w:p w:rsidR="00A74210" w:rsidRDefault="005840BA">
      <w:pPr>
        <w:pStyle w:val="Body"/>
      </w:pPr>
      <w:r>
        <w:t>Den 11. </w:t>
      </w:r>
      <w:proofErr w:type="spellStart"/>
      <w:r>
        <w:t>september</w:t>
      </w:r>
      <w:proofErr w:type="spellEnd"/>
      <w:r>
        <w:t xml:space="preserve"> 2020 </w:t>
      </w:r>
      <w:proofErr w:type="spellStart"/>
      <w:r>
        <w:t>blev</w:t>
      </w:r>
      <w:proofErr w:type="spellEnd"/>
      <w:r>
        <w:t xml:space="preserve"> der </w:t>
      </w:r>
      <w:proofErr w:type="spellStart"/>
      <w:r>
        <w:t>afsat</w:t>
      </w:r>
      <w:proofErr w:type="spellEnd"/>
      <w:r>
        <w:t xml:space="preserve"> 20 </w:t>
      </w:r>
      <w:proofErr w:type="spellStart"/>
      <w:r>
        <w:t>mio</w:t>
      </w:r>
      <w:proofErr w:type="spellEnd"/>
      <w:r>
        <w:t xml:space="preserve">. NIS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kortlægge</w:t>
      </w:r>
      <w:proofErr w:type="spellEnd"/>
      <w:r>
        <w:t xml:space="preserve"> "</w:t>
      </w:r>
      <w:proofErr w:type="spellStart"/>
      <w:r>
        <w:t>uautoriserede</w:t>
      </w:r>
      <w:proofErr w:type="spellEnd"/>
      <w:r>
        <w:t xml:space="preserve"> </w:t>
      </w:r>
      <w:proofErr w:type="spellStart"/>
      <w:r>
        <w:t>palæstinensiske</w:t>
      </w:r>
      <w:proofErr w:type="spellEnd"/>
      <w:r>
        <w:t xml:space="preserve"> </w:t>
      </w:r>
      <w:proofErr w:type="spellStart"/>
      <w:r>
        <w:t>kons</w:t>
      </w:r>
      <w:r>
        <w:t>truktioner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område</w:t>
      </w:r>
      <w:proofErr w:type="spellEnd"/>
      <w:r>
        <w:t xml:space="preserve"> C 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første</w:t>
      </w:r>
      <w:proofErr w:type="spellEnd"/>
      <w:r>
        <w:t xml:space="preserve"> gang, at der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afsat</w:t>
      </w:r>
      <w:proofErr w:type="spellEnd"/>
      <w:r>
        <w:t xml:space="preserve"> </w:t>
      </w:r>
      <w:proofErr w:type="spellStart"/>
      <w:r>
        <w:t>midler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sådan</w:t>
      </w:r>
      <w:proofErr w:type="spellEnd"/>
      <w:r>
        <w:t xml:space="preserve"> </w:t>
      </w:r>
      <w:proofErr w:type="spellStart"/>
      <w:r>
        <w:t>undersøgelse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statsbudgettet</w:t>
      </w:r>
      <w:proofErr w:type="spellEnd"/>
      <w:r>
        <w:rPr>
          <w:rStyle w:val="FootnoteReference"/>
        </w:rPr>
        <w:footnoteReference w:id="3"/>
      </w:r>
      <w:r>
        <w:t>.</w:t>
      </w:r>
    </w:p>
    <w:p w:rsidR="00A74210" w:rsidRDefault="005840BA">
      <w:pPr>
        <w:pStyle w:val="Body"/>
      </w:pPr>
      <w:r>
        <w:t xml:space="preserve">I </w:t>
      </w:r>
      <w:proofErr w:type="spellStart"/>
      <w:r>
        <w:t>betragtning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, at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gennemsnitlige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nedrivninger</w:t>
      </w:r>
      <w:proofErr w:type="spellEnd"/>
      <w:r>
        <w:t xml:space="preserve"> pr. </w:t>
      </w:r>
      <w:proofErr w:type="spellStart"/>
      <w:r>
        <w:t>måned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højere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–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trods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coronapandemien</w:t>
      </w:r>
      <w:proofErr w:type="spellEnd"/>
      <w:r>
        <w:t xml:space="preserve"> – end under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seneste</w:t>
      </w:r>
      <w:proofErr w:type="spellEnd"/>
      <w:r>
        <w:t xml:space="preserve"> </w:t>
      </w:r>
      <w:proofErr w:type="spellStart"/>
      <w:r>
        <w:t>højd</w:t>
      </w:r>
      <w:r>
        <w:t>epunkt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2016</w:t>
      </w:r>
      <w:r>
        <w:rPr>
          <w:rStyle w:val="FootnoteReference"/>
        </w:rPr>
        <w:footnoteReference w:id="4"/>
      </w:r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lyset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dramatiske</w:t>
      </w:r>
      <w:proofErr w:type="spellEnd"/>
      <w:r>
        <w:t xml:space="preserve"> </w:t>
      </w:r>
      <w:proofErr w:type="spellStart"/>
      <w:r>
        <w:t>stigning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udviklingen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bosættelser</w:t>
      </w:r>
      <w:proofErr w:type="spellEnd"/>
      <w:r>
        <w:rPr>
          <w:rStyle w:val="FootnoteReference"/>
        </w:rPr>
        <w:footnoteReference w:id="5"/>
      </w:r>
      <w:r>
        <w:t>,</w:t>
      </w:r>
    </w:p>
    <w:p w:rsidR="00A74210" w:rsidRDefault="005840BA">
      <w:pPr>
        <w:pStyle w:val="itemList"/>
      </w:pPr>
      <w:r>
        <w:t>1.</w:t>
      </w:r>
      <w:r>
        <w:tab/>
      </w:r>
      <w:proofErr w:type="spellStart"/>
      <w:r>
        <w:t>Hvilke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foranstaltninger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Kommissionen</w:t>
      </w:r>
      <w:proofErr w:type="spellEnd"/>
      <w:r>
        <w:t xml:space="preserve"> </w:t>
      </w:r>
      <w:proofErr w:type="spellStart"/>
      <w:r>
        <w:t>truffet</w:t>
      </w:r>
      <w:proofErr w:type="spellEnd"/>
      <w:r>
        <w:t xml:space="preserve"> for at </w:t>
      </w:r>
      <w:proofErr w:type="spellStart"/>
      <w:r>
        <w:t>sikre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finansiel</w:t>
      </w:r>
      <w:proofErr w:type="spellEnd"/>
      <w:r>
        <w:t xml:space="preserve"> </w:t>
      </w:r>
      <w:proofErr w:type="spellStart"/>
      <w:r>
        <w:t>kompensation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Israel for </w:t>
      </w:r>
      <w:proofErr w:type="spellStart"/>
      <w:r>
        <w:t>udgifterne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 </w:t>
      </w:r>
      <w:proofErr w:type="spellStart"/>
      <w:r>
        <w:t>nedrevne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beslaglagte</w:t>
      </w:r>
      <w:proofErr w:type="spellEnd"/>
      <w:r>
        <w:t xml:space="preserve"> EU-</w:t>
      </w:r>
      <w:proofErr w:type="spellStart"/>
      <w:r>
        <w:t>finansie</w:t>
      </w:r>
      <w:r>
        <w:t>rede</w:t>
      </w:r>
      <w:proofErr w:type="spellEnd"/>
      <w:r>
        <w:t xml:space="preserve"> </w:t>
      </w:r>
      <w:proofErr w:type="spellStart"/>
      <w:r>
        <w:t>bistandsprojekter</w:t>
      </w:r>
      <w:proofErr w:type="spellEnd"/>
      <w:r>
        <w:t xml:space="preserve">, </w:t>
      </w:r>
      <w:proofErr w:type="spellStart"/>
      <w:r>
        <w:t>herunder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eventuel</w:t>
      </w:r>
      <w:proofErr w:type="spellEnd"/>
      <w:r>
        <w:t xml:space="preserve"> </w:t>
      </w:r>
      <w:proofErr w:type="spellStart"/>
      <w:r>
        <w:t>reduktion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et </w:t>
      </w:r>
      <w:proofErr w:type="spellStart"/>
      <w:r>
        <w:t>tilsvarende</w:t>
      </w:r>
      <w:proofErr w:type="spellEnd"/>
      <w:r>
        <w:t xml:space="preserve"> </w:t>
      </w:r>
      <w:proofErr w:type="spellStart"/>
      <w:r>
        <w:t>beløb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bilaterale</w:t>
      </w:r>
      <w:proofErr w:type="spellEnd"/>
      <w:r>
        <w:t xml:space="preserve"> </w:t>
      </w:r>
      <w:proofErr w:type="spellStart"/>
      <w:r>
        <w:t>støtte</w:t>
      </w:r>
      <w:proofErr w:type="spellEnd"/>
      <w:r>
        <w:t xml:space="preserve"> </w:t>
      </w:r>
      <w:proofErr w:type="spellStart"/>
      <w:r>
        <w:t>mellem</w:t>
      </w:r>
      <w:proofErr w:type="spellEnd"/>
      <w:r>
        <w:t xml:space="preserve"> EU </w:t>
      </w:r>
      <w:proofErr w:type="spellStart"/>
      <w:r>
        <w:t>og</w:t>
      </w:r>
      <w:proofErr w:type="spellEnd"/>
      <w:r>
        <w:t xml:space="preserve"> Israel?</w:t>
      </w:r>
    </w:p>
    <w:p w:rsidR="00A74210" w:rsidRDefault="005840BA">
      <w:pPr>
        <w:pStyle w:val="itemList"/>
      </w:pPr>
      <w:r>
        <w:t>2.</w:t>
      </w:r>
      <w:r>
        <w:tab/>
      </w:r>
      <w:proofErr w:type="spellStart"/>
      <w:r>
        <w:t>Hvad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EU's </w:t>
      </w:r>
      <w:proofErr w:type="spellStart"/>
      <w:r>
        <w:t>røde</w:t>
      </w:r>
      <w:proofErr w:type="spellEnd"/>
      <w:r>
        <w:t xml:space="preserve"> </w:t>
      </w:r>
      <w:proofErr w:type="spellStart"/>
      <w:r>
        <w:t>linjer</w:t>
      </w:r>
      <w:proofErr w:type="spellEnd"/>
      <w:r>
        <w:t xml:space="preserve"> med </w:t>
      </w:r>
      <w:proofErr w:type="spellStart"/>
      <w:r>
        <w:t>hensyn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 </w:t>
      </w:r>
      <w:proofErr w:type="spellStart"/>
      <w:r>
        <w:t>israelske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 </w:t>
      </w:r>
      <w:proofErr w:type="spellStart"/>
      <w:r>
        <w:t>ovennævnte</w:t>
      </w:r>
      <w:proofErr w:type="spellEnd"/>
      <w:r>
        <w:t xml:space="preserve"> </w:t>
      </w:r>
      <w:proofErr w:type="spellStart"/>
      <w:r>
        <w:t>prioriterede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bringe</w:t>
      </w:r>
      <w:proofErr w:type="spellEnd"/>
      <w:r>
        <w:t xml:space="preserve"> </w:t>
      </w:r>
      <w:proofErr w:type="spellStart"/>
      <w:r>
        <w:t>muligheden</w:t>
      </w:r>
      <w:proofErr w:type="spellEnd"/>
      <w:r>
        <w:t xml:space="preserve"> </w:t>
      </w:r>
      <w:r>
        <w:t xml:space="preserve">for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tostatsløsning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fare?</w:t>
      </w:r>
    </w:p>
    <w:p w:rsidR="00A74210" w:rsidRDefault="005840BA">
      <w:pPr>
        <w:pStyle w:val="Body"/>
      </w:pPr>
      <w:r>
        <w:t> </w:t>
      </w:r>
    </w:p>
    <w:sectPr w:rsidR="00A74210">
      <w:footerReference w:type="even" r:id="rId6"/>
      <w:footerReference w:type="default" r:id="rId7"/>
      <w:footerReference w:type="first" r:id="rId8"/>
      <w:pgSz w:w="11906" w:h="16838"/>
      <w:pgMar w:top="1440" w:right="1440" w:bottom="2000" w:left="1440" w:header="56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40BA">
      <w:pPr>
        <w:spacing w:after="0"/>
      </w:pPr>
      <w:r>
        <w:separator/>
      </w:r>
    </w:p>
  </w:endnote>
  <w:endnote w:type="continuationSeparator" w:id="0">
    <w:p w:rsidR="00000000" w:rsidRDefault="00584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10" w:rsidRDefault="005840BA">
    <w:pPr>
      <w:pStyle w:val="Footer"/>
    </w:pPr>
    <w:r>
      <w:tab/>
    </w:r>
    <w:r>
      <w:tab/>
      <w:t>PE659.975v01-00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10" w:rsidRDefault="005840BA">
    <w:pPr>
      <w:pStyle w:val="Footer"/>
    </w:pPr>
    <w:r>
      <w:tab/>
    </w:r>
    <w:r>
      <w:tab/>
      <w:t>PE659.975v01-00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10" w:rsidRDefault="005840BA">
    <w:pPr>
      <w:pStyle w:val="Footer"/>
    </w:pPr>
    <w:r>
      <w:tab/>
    </w:r>
    <w:r>
      <w:tab/>
      <w:t>PE659.975v01-00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40BA">
      <w:pPr>
        <w:spacing w:after="0"/>
      </w:pPr>
      <w:r>
        <w:separator/>
      </w:r>
    </w:p>
  </w:footnote>
  <w:footnote w:type="continuationSeparator" w:id="0">
    <w:p w:rsidR="00000000" w:rsidRDefault="005840BA">
      <w:pPr>
        <w:spacing w:after="0"/>
      </w:pPr>
      <w:r>
        <w:continuationSeparator/>
      </w:r>
    </w:p>
  </w:footnote>
  <w:footnote w:id="1">
    <w:p w:rsidR="00A74210" w:rsidRDefault="0058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Protokol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høring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Knessets</w:t>
      </w:r>
      <w:proofErr w:type="spellEnd"/>
      <w:r>
        <w:t xml:space="preserve"> </w:t>
      </w:r>
      <w:proofErr w:type="spellStart"/>
      <w:r>
        <w:t>Udenrigs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Forsvarsudvalg</w:t>
      </w:r>
      <w:proofErr w:type="spellEnd"/>
      <w:r>
        <w:t xml:space="preserve"> den 12. august 2020 (</w:t>
      </w:r>
      <w:proofErr w:type="spellStart"/>
      <w:r>
        <w:t>på</w:t>
      </w:r>
      <w:proofErr w:type="spellEnd"/>
      <w:r>
        <w:t xml:space="preserve"> </w:t>
      </w:r>
      <w:proofErr w:type="spellStart"/>
      <w:r>
        <w:t>hebræisk</w:t>
      </w:r>
      <w:proofErr w:type="spellEnd"/>
      <w:r>
        <w:t>), htt</w:t>
      </w:r>
      <w:r>
        <w:t>p://fs.knesset.gov.il/23/Committees/23_ptv_581852.doc</w:t>
      </w:r>
    </w:p>
  </w:footnote>
  <w:footnote w:id="2">
    <w:p w:rsidR="00A74210" w:rsidRDefault="0058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Ibid.</w:t>
      </w:r>
    </w:p>
  </w:footnote>
  <w:footnote w:id="3">
    <w:p w:rsidR="00A74210" w:rsidRDefault="0058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https://www.haaretz.com/israel-news/.premium-israel-settlement-ministry-gets-6m-to-survey-unauthorized-palestinian-construction-1.9147627</w:t>
      </w:r>
    </w:p>
  </w:footnote>
  <w:footnote w:id="4">
    <w:p w:rsidR="00A74210" w:rsidRDefault="0058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Ulovlige</w:t>
      </w:r>
      <w:proofErr w:type="spellEnd"/>
      <w:r>
        <w:t xml:space="preserve"> </w:t>
      </w:r>
      <w:proofErr w:type="spellStart"/>
      <w:r>
        <w:t>nedrivninger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Vestbredden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et </w:t>
      </w:r>
      <w:proofErr w:type="spellStart"/>
      <w:r>
        <w:t>nyt</w:t>
      </w:r>
      <w:proofErr w:type="spellEnd"/>
      <w:r>
        <w:t xml:space="preserve"> </w:t>
      </w:r>
      <w:proofErr w:type="spellStart"/>
      <w:r>
        <w:t>h</w:t>
      </w:r>
      <w:r>
        <w:t>øjdepunkt</w:t>
      </w:r>
      <w:proofErr w:type="spellEnd"/>
      <w:r>
        <w:t xml:space="preserve"> under covid-19 – </w:t>
      </w:r>
      <w:proofErr w:type="spellStart"/>
      <w:r>
        <w:t>Erklæring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den </w:t>
      </w:r>
      <w:proofErr w:type="spellStart"/>
      <w:r>
        <w:t>humanitære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, Jamie </w:t>
      </w:r>
      <w:proofErr w:type="spellStart"/>
      <w:r>
        <w:t>McGoldrick</w:t>
      </w:r>
      <w:proofErr w:type="spellEnd"/>
      <w:r>
        <w:t>, 10. </w:t>
      </w:r>
      <w:proofErr w:type="spellStart"/>
      <w:r>
        <w:t>september</w:t>
      </w:r>
      <w:proofErr w:type="spellEnd"/>
      <w:r>
        <w:t xml:space="preserve"> 2020, https://www.un.org/unispal/document/unlawful-demolitions-in-the-west-bank-spike-during-covid-19-statement-by-humanitarian-coordinator-jamie-mcgoldric</w:t>
      </w:r>
      <w:r>
        <w:t>k/</w:t>
      </w:r>
    </w:p>
  </w:footnote>
  <w:footnote w:id="5">
    <w:p w:rsidR="00A74210" w:rsidRDefault="0058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Vestbredden</w:t>
      </w:r>
      <w:proofErr w:type="spellEnd"/>
      <w:r>
        <w:t xml:space="preserve">: </w:t>
      </w:r>
      <w:proofErr w:type="spellStart"/>
      <w:r>
        <w:t>Erklæring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den </w:t>
      </w:r>
      <w:proofErr w:type="spellStart"/>
      <w:r>
        <w:t>højtstående</w:t>
      </w:r>
      <w:proofErr w:type="spellEnd"/>
      <w:r>
        <w:t xml:space="preserve"> </w:t>
      </w:r>
      <w:proofErr w:type="spellStart"/>
      <w:r>
        <w:t>repræsentant</w:t>
      </w:r>
      <w:proofErr w:type="spellEnd"/>
      <w:r>
        <w:t xml:space="preserve">, </w:t>
      </w:r>
      <w:proofErr w:type="spellStart"/>
      <w:r>
        <w:t>Josep</w:t>
      </w:r>
      <w:proofErr w:type="spellEnd"/>
      <w:r>
        <w:t xml:space="preserve"> </w:t>
      </w:r>
      <w:proofErr w:type="spellStart"/>
      <w:r>
        <w:t>Borrell</w:t>
      </w:r>
      <w:proofErr w:type="spellEnd"/>
      <w:r>
        <w:t xml:space="preserve">, om </w:t>
      </w:r>
      <w:proofErr w:type="spellStart"/>
      <w:r>
        <w:t>udvidelsen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 </w:t>
      </w:r>
      <w:proofErr w:type="spellStart"/>
      <w:r>
        <w:t>israelske</w:t>
      </w:r>
      <w:proofErr w:type="spellEnd"/>
      <w:r>
        <w:t xml:space="preserve"> </w:t>
      </w:r>
      <w:proofErr w:type="spellStart"/>
      <w:r>
        <w:t>bosættelser</w:t>
      </w:r>
      <w:proofErr w:type="spellEnd"/>
      <w:r>
        <w:t xml:space="preserve">, </w:t>
      </w:r>
      <w:r>
        <w:t>https://eeas.europa.eu/headquarters/headquarters-homepage/87070/west-bank-statement-high-representative-josep-borrell-israeli-settlement-expansion_en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840BA"/>
    <w:rsid w:val="00A7421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843F4-8E22-4CC3-A818-55CCCAC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2E74B5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44546A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Forespørgsel til skriftlig besvarelse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Forespørgsel til skriftlig besvarelse</dc:title>
  <dc:creator>e-Parliament@europarl.europa.eu</dc:creator>
  <cp:lastModifiedBy>LUSCOMBE Robert Kolby</cp:lastModifiedBy>
  <cp:revision>2</cp:revision>
  <dcterms:created xsi:type="dcterms:W3CDTF">2021-01-25T10:04:00Z</dcterms:created>
  <dcterms:modified xsi:type="dcterms:W3CDTF">2021-01-25T10:04:00Z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20210115-142029-016750-800878</vt:lpwstr>
  </property>
</Properties>
</file>